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26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8"/>
        <w:gridCol w:w="5586"/>
      </w:tblGrid>
      <w:tr w14:paraId="4E83E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D84608F">
            <w:pPr>
              <w:spacing w:before="0" w:after="0" w:line="360" w:lineRule="auto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PHÒNG GD&amp;ĐT THỊ XÃ ĐÔNG TRIỀU</w:t>
            </w:r>
          </w:p>
          <w:p w14:paraId="4A791D5F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229870</wp:posOffset>
                      </wp:positionV>
                      <wp:extent cx="1303020" cy="0"/>
                      <wp:effectExtent l="0" t="0" r="0" b="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o:spt="20" style="position:absolute;left:0pt;margin-left:63.25pt;margin-top:18.1pt;height:0pt;width:102.6pt;z-index:251659264;mso-width-relative:page;mso-height-relative:page;" filled="f" stroked="t" coordsize="21600,21600" o:gfxdata="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zjrfO2AAAAAkBAAAP&#10;AAAAAAAAAAEAIAAAACIAAABkcnMvZG93bnJldi54bWxQSwECFAAUAAAACACHTuJAdmLST98BAAC9&#10;AwAADgAAAAAAAAABACAAAAAnAQAAZHJzL2Uyb0RvYy54bWxQSwUGAAAAAAYABgBZAQAAeAUAAAAA&#10;">
                      <v:fill on="f" focussize="0,0"/>
                      <v:stroke weight="0.5pt" color="#4472C4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14:paraId="2368B408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</w:tcPr>
          <w:p w14:paraId="02CF6DAD">
            <w:pPr>
              <w:spacing w:before="0" w:after="0" w:line="36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ĐỀ CƯƠNG ÔN TẬP KIỂM TRA GIỮA KÌ I</w:t>
            </w:r>
          </w:p>
          <w:p w14:paraId="6AAF465C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14:paraId="612B2052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351C2DCD">
      <w:pPr>
        <w:spacing w:before="0" w:after="0" w:line="360" w:lineRule="auto"/>
        <w:ind w:left="-426" w:right="-284"/>
        <w:jc w:val="center"/>
        <w:rPr>
          <w:b/>
          <w:color w:val="000000"/>
        </w:rPr>
      </w:pPr>
      <w:r>
        <w:rPr>
          <w:b/>
          <w:color w:val="000000"/>
        </w:rPr>
        <w:t>MÔN: LỊCH SỬ &amp; ĐỊA LÍ 9</w:t>
      </w:r>
    </w:p>
    <w:p w14:paraId="18007871">
      <w:pPr>
        <w:spacing w:before="0" w:after="0" w:line="360" w:lineRule="auto"/>
        <w:ind w:firstLine="567"/>
        <w:rPr>
          <w:rFonts w:eastAsia="Times New Roman"/>
          <w:b/>
          <w:bCs/>
          <w:szCs w:val="18"/>
          <w:lang w:val="vi-VN"/>
        </w:rPr>
      </w:pPr>
      <w:r>
        <w:rPr>
          <w:rFonts w:eastAsia="DengXian"/>
          <w:b/>
          <w:iCs/>
          <w:color w:val="000000"/>
          <w:kern w:val="24"/>
        </w:rPr>
        <w:t xml:space="preserve">I. </w:t>
      </w:r>
      <w:r>
        <w:rPr>
          <w:b/>
          <w:color w:val="000000"/>
          <w:spacing w:val="-8"/>
        </w:rPr>
        <w:t>PHÂN MÔN LỊCH SỬ</w:t>
      </w:r>
    </w:p>
    <w:p w14:paraId="18D0B6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b/>
          <w:bCs/>
          <w:i/>
          <w:iCs/>
          <w:color w:val="000000"/>
          <w:u w:val="none"/>
        </w:rPr>
      </w:pPr>
      <w:r>
        <w:rPr>
          <w:rFonts w:hint="default"/>
          <w:b/>
          <w:bCs/>
          <w:i/>
          <w:iCs/>
          <w:color w:val="000000"/>
          <w:u w:val="none"/>
          <w:lang w:val="vi-VN"/>
        </w:rPr>
        <w:t>1.</w:t>
      </w:r>
      <w:r>
        <w:rPr>
          <w:b/>
          <w:bCs/>
          <w:i/>
          <w:iCs/>
          <w:color w:val="000000"/>
          <w:u w:val="none"/>
        </w:rPr>
        <w:t xml:space="preserve"> Nước Nga và Liên Xô từ năm 1918 đến năm 1945</w:t>
      </w:r>
    </w:p>
    <w:p w14:paraId="1BA771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rFonts w:eastAsia="SimSun"/>
          <w:sz w:val="27"/>
          <w:szCs w:val="27"/>
          <w:lang w:eastAsia="zh-CN" w:bidi="ar"/>
        </w:rPr>
      </w:pPr>
      <w:r>
        <w:rPr>
          <w:rFonts w:hint="default"/>
          <w:b/>
          <w:bCs/>
          <w:i/>
          <w:iCs/>
          <w:color w:val="000000"/>
          <w:u w:val="none"/>
          <w:lang w:val="vi-VN"/>
        </w:rPr>
        <w:t xml:space="preserve">- </w:t>
      </w:r>
      <w:r>
        <w:rPr>
          <w:rFonts w:eastAsia="SimSun"/>
          <w:sz w:val="27"/>
          <w:szCs w:val="27"/>
          <w:lang w:eastAsia="zh-CN" w:bidi="ar"/>
        </w:rPr>
        <w:t xml:space="preserve">Nêu  những nét chính về nước Nga trước khi Liên Xô được thành lập. </w:t>
      </w:r>
    </w:p>
    <w:p w14:paraId="55E371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rFonts w:eastAsia="SimSun"/>
          <w:sz w:val="27"/>
          <w:szCs w:val="27"/>
          <w:lang w:eastAsia="zh-CN" w:bidi="ar"/>
        </w:rPr>
      </w:pPr>
      <w:r>
        <w:rPr>
          <w:rFonts w:eastAsia="SimSun"/>
          <w:sz w:val="27"/>
          <w:szCs w:val="27"/>
          <w:lang w:val="vi-VN" w:eastAsia="zh-CN" w:bidi="ar"/>
        </w:rPr>
        <w:t xml:space="preserve">- </w:t>
      </w:r>
      <w:r>
        <w:rPr>
          <w:rFonts w:eastAsia="SimSun"/>
          <w:sz w:val="27"/>
          <w:szCs w:val="27"/>
          <w:lang w:eastAsia="zh-CN" w:bidi="ar"/>
        </w:rPr>
        <w:t>Trình bày  những thành tựu và chỉ ra được hạn chế của công cuộc xây dựng chủ nghĩa xã hội ở Liên Xô</w:t>
      </w:r>
    </w:p>
    <w:p w14:paraId="52B7866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rFonts w:hint="default"/>
          <w:sz w:val="27"/>
          <w:szCs w:val="27"/>
          <w:lang w:val="vi-VN"/>
        </w:rPr>
      </w:pPr>
      <w:r>
        <w:rPr>
          <w:b/>
          <w:bCs w:val="0"/>
          <w:i/>
          <w:iCs/>
          <w:color w:val="000000"/>
        </w:rPr>
        <w:t xml:space="preserve"> Châu Âu và nước Mỹ từ năm 1918 đến năm 1945</w:t>
      </w:r>
    </w:p>
    <w:p w14:paraId="0ED0C9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sz w:val="27"/>
          <w:szCs w:val="27"/>
        </w:rPr>
      </w:pPr>
      <w:r>
        <w:rPr>
          <w:rFonts w:hint="default"/>
          <w:b/>
          <w:bCs/>
          <w:i/>
          <w:iCs/>
          <w:color w:val="000000"/>
          <w:u w:val="none"/>
          <w:lang w:val="vi-VN"/>
        </w:rPr>
        <w:t xml:space="preserve">- </w:t>
      </w:r>
      <w:r>
        <w:rPr>
          <w:sz w:val="27"/>
          <w:szCs w:val="27"/>
          <w:lang w:val="vi-VN"/>
        </w:rPr>
        <w:t>Trình bày được những nét chính về: phong trào cách mạng và sự thành lập Quốc tế Cộng sản; đại suy thoái kinh tế 1929 – 1933</w:t>
      </w:r>
      <w:r>
        <w:rPr>
          <w:sz w:val="27"/>
          <w:szCs w:val="27"/>
        </w:rPr>
        <w:t>, sự hình thành chủ nghĩa phát xít ở Châu Âu.</w:t>
      </w:r>
    </w:p>
    <w:p w14:paraId="582BDF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rFonts w:hint="default"/>
          <w:bCs/>
          <w:color w:val="000000"/>
          <w:lang w:val="vi-VN"/>
        </w:rPr>
      </w:pPr>
      <w:r>
        <w:rPr>
          <w:rFonts w:eastAsia="SimSun"/>
          <w:sz w:val="27"/>
          <w:szCs w:val="27"/>
          <w:lang w:val="vi-VN" w:eastAsia="zh-CN" w:bidi="ar"/>
        </w:rPr>
        <w:t xml:space="preserve">- </w:t>
      </w:r>
      <w:r>
        <w:rPr>
          <w:sz w:val="27"/>
          <w:szCs w:val="27"/>
        </w:rPr>
        <w:t>Nhận biết được tình hình chính trị và sự phát triển kinh tế nước Mỹ giữa hai cuộc chiến tranh thế giới.</w:t>
      </w:r>
    </w:p>
    <w:p w14:paraId="4D9959C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567" w:firstLineChars="0"/>
        <w:textAlignment w:val="auto"/>
        <w:rPr>
          <w:sz w:val="27"/>
          <w:szCs w:val="27"/>
          <w:lang w:val="vi-VN"/>
        </w:rPr>
      </w:pPr>
      <w:r>
        <w:rPr>
          <w:b/>
          <w:bCs/>
          <w:i/>
          <w:iCs/>
          <w:color w:val="000000"/>
        </w:rPr>
        <w:t>Châu Á từ năm 1918 đến năm 1945.</w:t>
      </w:r>
    </w:p>
    <w:p w14:paraId="60388212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567" w:leftChars="0"/>
        <w:textAlignment w:val="auto"/>
        <w:rPr>
          <w:color w:val="000000"/>
        </w:rPr>
      </w:pPr>
      <w:r>
        <w:rPr>
          <w:rFonts w:hint="default"/>
          <w:b/>
          <w:bCs/>
          <w:i/>
          <w:iCs/>
          <w:color w:val="000000"/>
          <w:lang w:val="vi-VN"/>
        </w:rPr>
        <w:t xml:space="preserve">- </w:t>
      </w:r>
      <w:r>
        <w:rPr>
          <w:sz w:val="27"/>
          <w:szCs w:val="27"/>
          <w:lang w:val="vi-VN"/>
        </w:rPr>
        <w:t>Nêu được những nét chính về tình hình châu Á từ năm 1918 đến năm 1945.</w:t>
      </w:r>
    </w:p>
    <w:p w14:paraId="412F7E25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567" w:firstLineChars="0"/>
        <w:textAlignment w:val="auto"/>
        <w:rPr>
          <w:b/>
          <w:bCs/>
          <w:i/>
          <w:iCs/>
          <w:color w:val="000000"/>
        </w:rPr>
      </w:pPr>
      <w:r>
        <w:rPr>
          <w:rFonts w:hint="default"/>
          <w:color w:val="000000"/>
          <w:lang w:val="vi-VN"/>
        </w:rPr>
        <w:t xml:space="preserve"> </w:t>
      </w:r>
      <w:r>
        <w:rPr>
          <w:b/>
          <w:bCs/>
          <w:i/>
          <w:iCs/>
          <w:color w:val="000000"/>
        </w:rPr>
        <w:t>Chiến tranh thế giới thứ hai (1939-1945)</w:t>
      </w:r>
    </w:p>
    <w:p w14:paraId="0F1157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sz w:val="27"/>
          <w:szCs w:val="27"/>
        </w:rPr>
      </w:pPr>
      <w:r>
        <w:rPr>
          <w:sz w:val="27"/>
          <w:szCs w:val="27"/>
        </w:rPr>
        <w:t>- Trình bày được nguyên nhân và diễn biến chủ yếu của Chiến tranh thế giới thứ hai.</w:t>
      </w:r>
    </w:p>
    <w:p w14:paraId="0B266A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sz w:val="27"/>
          <w:szCs w:val="27"/>
        </w:rPr>
      </w:pPr>
      <w:r>
        <w:rPr>
          <w:sz w:val="27"/>
          <w:szCs w:val="27"/>
        </w:rPr>
        <w:t>- Phân tích được hậu quả của Chiến tranh thế giới thứ hai đối với lịch sử nhân loại.</w:t>
      </w:r>
    </w:p>
    <w:p w14:paraId="2A732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sz w:val="27"/>
          <w:szCs w:val="27"/>
        </w:rPr>
      </w:pPr>
      <w:r>
        <w:rPr>
          <w:sz w:val="27"/>
          <w:szCs w:val="27"/>
        </w:rPr>
        <w:t>- Nêu được nguyên nhân thắng lợi, ý nghĩa lịch sử, vai trò của Liên Xô và các nước Đồng minh trong chiến thắng chủ nghĩa phát xít.</w:t>
      </w:r>
    </w:p>
    <w:p w14:paraId="62C9EF9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567" w:firstLineChars="0"/>
        <w:textAlignment w:val="auto"/>
        <w:rPr>
          <w:b/>
          <w:bCs/>
          <w:i/>
          <w:iCs/>
          <w:color w:val="000000"/>
        </w:rPr>
      </w:pPr>
      <w:r>
        <w:rPr>
          <w:rFonts w:hint="default"/>
          <w:i/>
          <w:iCs/>
          <w:color w:val="000000"/>
          <w:lang w:val="vi-VN"/>
        </w:rPr>
        <w:t xml:space="preserve"> </w:t>
      </w:r>
      <w:r>
        <w:rPr>
          <w:rFonts w:eastAsia="Calibri"/>
          <w:b/>
          <w:bCs/>
          <w:i/>
          <w:iCs/>
          <w:sz w:val="27"/>
          <w:szCs w:val="27"/>
        </w:rPr>
        <w:t>Phong trào dân tộc dân chủ trong những năm 1918-1930</w:t>
      </w:r>
    </w:p>
    <w:p w14:paraId="44FA86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sz w:val="27"/>
          <w:szCs w:val="27"/>
        </w:rPr>
      </w:pPr>
      <w:r>
        <w:rPr>
          <w:sz w:val="27"/>
          <w:szCs w:val="27"/>
        </w:rPr>
        <w:t>- Mô tả được những nét chính của phong trào dân tộc dân chủ những năm 1918-1930.</w:t>
      </w:r>
    </w:p>
    <w:p w14:paraId="491C18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sz w:val="27"/>
          <w:szCs w:val="27"/>
        </w:rPr>
      </w:pPr>
      <w:r>
        <w:rPr>
          <w:sz w:val="27"/>
          <w:szCs w:val="27"/>
        </w:rPr>
        <w:t>- Phân tích được nguyên nhân và hệ quả của phong trào dân tộc dân chủ những năm 1918-1930.</w:t>
      </w:r>
    </w:p>
    <w:p w14:paraId="42D756BC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567" w:firstLineChars="0"/>
        <w:textAlignment w:val="auto"/>
        <w:rPr>
          <w:rFonts w:eastAsia="Arial"/>
          <w:bCs/>
          <w:sz w:val="27"/>
          <w:szCs w:val="27"/>
        </w:rPr>
      </w:pPr>
      <w:r>
        <w:rPr>
          <w:rFonts w:hint="default"/>
          <w:color w:val="000000"/>
          <w:lang w:val="vi-VN"/>
        </w:rPr>
        <w:t xml:space="preserve"> </w:t>
      </w:r>
      <w:r>
        <w:rPr>
          <w:rFonts w:eastAsia="Calibri"/>
          <w:b/>
          <w:bCs/>
          <w:i/>
          <w:iCs/>
          <w:sz w:val="27"/>
          <w:szCs w:val="27"/>
        </w:rPr>
        <w:t>Hoạt động của Nguyễn Ái Quốc và sự thành lập Đảng cộng sản Việt Nam</w:t>
      </w:r>
      <w:r>
        <w:rPr>
          <w:rFonts w:hint="default" w:eastAsia="Calibri"/>
          <w:b/>
          <w:bCs/>
          <w:i/>
          <w:iCs/>
          <w:sz w:val="27"/>
          <w:szCs w:val="27"/>
          <w:lang w:val="vi-VN"/>
        </w:rPr>
        <w:t>.</w:t>
      </w:r>
    </w:p>
    <w:p w14:paraId="6F4D36CE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567" w:leftChars="0"/>
        <w:textAlignment w:val="auto"/>
        <w:rPr>
          <w:rFonts w:eastAsia="Arial"/>
          <w:bCs/>
          <w:sz w:val="27"/>
          <w:szCs w:val="27"/>
        </w:rPr>
      </w:pPr>
      <w:r>
        <w:rPr>
          <w:rFonts w:eastAsia="Arial"/>
          <w:bCs/>
          <w:sz w:val="27"/>
          <w:szCs w:val="27"/>
        </w:rPr>
        <w:t xml:space="preserve">- Nêu được những nét chính về hoạt động của Nguyễn Ái Quốc trong những năm 1918-1930. </w:t>
      </w:r>
    </w:p>
    <w:p w14:paraId="5E9A19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rFonts w:eastAsia="Arial"/>
          <w:bCs/>
          <w:sz w:val="27"/>
          <w:szCs w:val="27"/>
        </w:rPr>
      </w:pPr>
      <w:r>
        <w:rPr>
          <w:rFonts w:eastAsia="Arial"/>
          <w:bCs/>
          <w:sz w:val="27"/>
          <w:szCs w:val="27"/>
        </w:rPr>
        <w:t>- Nhận biết được quá trình và ý nghĩa của việc thành lập Đảng Cộng sản Việt Nam; đánh giá được vai</w:t>
      </w:r>
      <w:r>
        <w:rPr>
          <w:rFonts w:eastAsia="Arial"/>
          <w:b/>
          <w:bCs/>
          <w:sz w:val="27"/>
          <w:szCs w:val="27"/>
        </w:rPr>
        <w:t xml:space="preserve"> </w:t>
      </w:r>
      <w:r>
        <w:rPr>
          <w:rFonts w:eastAsia="Arial"/>
          <w:bCs/>
          <w:sz w:val="27"/>
          <w:szCs w:val="27"/>
        </w:rPr>
        <w:t>trò của Nguyễn Ái Quốc trong quá trình thành lập Đảng Cộng sản Việt Nam.</w:t>
      </w:r>
    </w:p>
    <w:p w14:paraId="5E8ADF0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left="0" w:leftChars="0" w:firstLine="567" w:firstLineChars="0"/>
        <w:textAlignment w:val="auto"/>
        <w:rPr>
          <w:b/>
          <w:bCs/>
          <w:i/>
          <w:iCs/>
          <w:color w:val="000000"/>
        </w:rPr>
      </w:pPr>
      <w:r>
        <w:rPr>
          <w:rFonts w:hint="default"/>
          <w:i/>
          <w:iCs/>
          <w:color w:val="000000"/>
          <w:lang w:val="vi-VN"/>
        </w:rPr>
        <w:t xml:space="preserve"> </w:t>
      </w:r>
      <w:r>
        <w:rPr>
          <w:b/>
          <w:bCs/>
          <w:i/>
          <w:iCs/>
          <w:sz w:val="27"/>
          <w:szCs w:val="27"/>
        </w:rPr>
        <w:t>Phong trào cách mạng Việt Nam  thời kì 1930 – 1939</w:t>
      </w:r>
    </w:p>
    <w:p w14:paraId="47A5DE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rFonts w:eastAsia="Arial"/>
          <w:bCs/>
          <w:sz w:val="27"/>
          <w:szCs w:val="27"/>
        </w:rPr>
      </w:pPr>
      <w:r>
        <w:rPr>
          <w:rFonts w:eastAsia="Arial"/>
          <w:bCs/>
          <w:sz w:val="27"/>
          <w:szCs w:val="27"/>
        </w:rPr>
        <w:t>- Mô tả được những nét chủ yếu của phong trào cách mạng 1930 – 1931 (bối cảnh, diễn biến chính, ý nghĩa của phong trào).</w:t>
      </w:r>
    </w:p>
    <w:p w14:paraId="4AFA04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76" w:lineRule="auto"/>
        <w:ind w:firstLine="567"/>
        <w:textAlignment w:val="auto"/>
        <w:rPr>
          <w:rFonts w:hint="default" w:eastAsia="Arial"/>
          <w:bCs/>
          <w:sz w:val="27"/>
          <w:szCs w:val="27"/>
          <w:lang w:val="vi-VN"/>
        </w:rPr>
      </w:pPr>
      <w:r>
        <w:rPr>
          <w:rFonts w:eastAsia="Arial"/>
          <w:bCs/>
          <w:sz w:val="27"/>
          <w:szCs w:val="27"/>
        </w:rPr>
        <w:t>- Mô tả được những nét chủ yếu của phong trào dân chủ 1936  - 1939 (bối cảnh, diễn biến chính, ý nghĩa của phong trào).</w:t>
      </w:r>
    </w:p>
    <w:p w14:paraId="04AA5CE1">
      <w:pPr>
        <w:spacing w:before="0" w:after="0" w:line="360" w:lineRule="auto"/>
        <w:ind w:firstLine="567"/>
        <w:rPr>
          <w:b/>
          <w:color w:val="000000"/>
          <w:spacing w:val="-8"/>
        </w:rPr>
      </w:pPr>
      <w:r>
        <w:rPr>
          <w:b/>
          <w:color w:val="000000"/>
          <w:spacing w:val="-8"/>
        </w:rPr>
        <w:t>II. PHÂN MÔN ĐỊA LÍ</w:t>
      </w:r>
    </w:p>
    <w:p w14:paraId="22179D9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đặc điểm phân bố các dân tộc Việt Nam.</w:t>
      </w:r>
    </w:p>
    <w:p w14:paraId="7F06B27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Phân tích sự thay đổi cơ cấu tuổi và giới tính của dân cư.</w:t>
      </w:r>
    </w:p>
    <w:p w14:paraId="3EF9EAB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Vẽ và nhận xét biểu đồ về gia tăng dân số.</w:t>
      </w:r>
    </w:p>
    <w:p w14:paraId="1C16F3FE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đặc điểm phân bố dân cư.</w:t>
      </w:r>
    </w:p>
    <w:p w14:paraId="379B11DE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sự khác biệt giữa quần cư thành thị và quần cư nông thôn.</w:t>
      </w:r>
    </w:p>
    <w:p w14:paraId="49666143">
      <w:pPr>
        <w:spacing w:before="0" w:after="0" w:line="360" w:lineRule="auto"/>
        <w:ind w:right="141" w:firstLine="567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</w:rPr>
        <w:t xml:space="preserve">- </w:t>
      </w:r>
      <w:r>
        <w:rPr>
          <w:rFonts w:eastAsia="Times New Roman"/>
          <w:color w:val="000000"/>
          <w:position w:val="-1"/>
          <w:lang w:val="vi-VN"/>
        </w:rPr>
        <w:t>Phân tích vấn đề việc làm ở địa phương.</w:t>
      </w:r>
    </w:p>
    <w:p w14:paraId="257BB713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Phân tích một trong các nhân tố chính ảnh hưởng tới sự phát triển và phân bố nông nghiệp.</w:t>
      </w:r>
    </w:p>
    <w:p w14:paraId="162B21D5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sự phát triển và phân bố nông nghiệp.</w:t>
      </w:r>
    </w:p>
    <w:p w14:paraId="0FBD9843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ý nghĩa của việc phát triển nông nghiệp xanh.</w:t>
      </w:r>
    </w:p>
    <w:p w14:paraId="1FDA120B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 xml:space="preserve">- Phân tích đặc điểm phân bố tài nguyên rừng và nguồn lợi thuỷ sản. </w:t>
      </w:r>
    </w:p>
    <w:p w14:paraId="0BF2F6E2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sự phát triển và phân bố lâm nghiệp, thuỷ sản.</w:t>
      </w:r>
    </w:p>
    <w:p w14:paraId="035BCDEB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Phân tích vai trò của một trong các nhân tố quan trọng ảnh hưởng đến sự phát triển và phân bố công nghiệp.</w:t>
      </w:r>
    </w:p>
    <w:p w14:paraId="73F770CE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Trình bày sự phát triển và phân bố các ngành công nghiệp chủ yếu.</w:t>
      </w:r>
    </w:p>
    <w:p w14:paraId="76AF9721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 xml:space="preserve">- </w:t>
      </w:r>
      <w:r>
        <w:rPr>
          <w:rFonts w:eastAsia="Times New Roman"/>
          <w:color w:val="000000"/>
          <w:position w:val="-1"/>
        </w:rPr>
        <w:t xml:space="preserve">Kể tên </w:t>
      </w:r>
      <w:r>
        <w:rPr>
          <w:rFonts w:eastAsia="Times New Roman"/>
          <w:color w:val="000000"/>
          <w:position w:val="-1"/>
          <w:lang w:val="vi-VN"/>
        </w:rPr>
        <w:t>các trung tâm công nghiệp chính.</w:t>
      </w:r>
    </w:p>
    <w:p w14:paraId="4945B66A">
      <w:pPr>
        <w:widowControl w:val="0"/>
        <w:suppressAutoHyphens/>
        <w:spacing w:before="0" w:after="0" w:line="360" w:lineRule="auto"/>
        <w:ind w:firstLine="610" w:firstLineChars="218"/>
        <w:textAlignment w:val="top"/>
        <w:outlineLvl w:val="0"/>
        <w:rPr>
          <w:rFonts w:eastAsia="Times New Roman"/>
          <w:color w:val="000000"/>
          <w:position w:val="-1"/>
          <w:lang w:val="vi-VN"/>
        </w:rPr>
      </w:pPr>
      <w:r>
        <w:rPr>
          <w:rFonts w:eastAsia="Times New Roman"/>
          <w:color w:val="000000"/>
          <w:position w:val="-1"/>
          <w:lang w:val="vi-VN"/>
        </w:rPr>
        <w:t>- Giải thích tại sao cần phát triển công nghiệp xanh.</w:t>
      </w:r>
    </w:p>
    <w:p w14:paraId="43B5A23D">
      <w:pPr>
        <w:spacing w:before="0" w:after="0" w:line="360" w:lineRule="auto"/>
        <w:ind w:left="567" w:right="141" w:firstLine="426"/>
        <w:jc w:val="center"/>
      </w:pPr>
      <w:r>
        <w:t>---- Hết ----</w:t>
      </w:r>
    </w:p>
    <w:tbl>
      <w:tblPr>
        <w:tblStyle w:val="4"/>
        <w:tblW w:w="10870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9"/>
        <w:gridCol w:w="1202"/>
        <w:gridCol w:w="2244"/>
        <w:gridCol w:w="4655"/>
      </w:tblGrid>
      <w:tr w14:paraId="3A7C5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C986A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Duyệt của tổ chuyên môn</w:t>
            </w:r>
          </w:p>
          <w:p w14:paraId="33FAAF30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rFonts w:eastAsia="Times New Roman"/>
                <w:b/>
                <w:iCs/>
              </w:rPr>
              <w:drawing>
                <wp:inline distT="0" distB="0" distL="0" distR="0">
                  <wp:extent cx="1531620" cy="6642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331F8121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14:paraId="5D9D2191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Người xây dựng</w:t>
            </w:r>
          </w:p>
          <w:p w14:paraId="39E2C0EF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drawing>
                <wp:inline distT="0" distB="0" distL="114300" distR="114300">
                  <wp:extent cx="1623695" cy="487045"/>
                  <wp:effectExtent l="0" t="0" r="6985" b="635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A9ADC5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drawing>
                <wp:inline distT="0" distB="0" distL="0" distR="0">
                  <wp:extent cx="1762125" cy="688340"/>
                  <wp:effectExtent l="0" t="0" r="5715" b="1270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688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2DE3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1EC1C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Hậu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17CBD520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</w:tc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</w:tcPr>
          <w:p w14:paraId="3A419B49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Lê Thị Mai Hiên</w:t>
            </w:r>
          </w:p>
          <w:p w14:paraId="01BBF622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Nguyễn Thị Dung</w:t>
            </w:r>
          </w:p>
        </w:tc>
      </w:tr>
      <w:tr w14:paraId="406B5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9" w:type="dxa"/>
            <w:tcBorders>
              <w:top w:val="nil"/>
              <w:left w:val="nil"/>
              <w:right w:val="nil"/>
            </w:tcBorders>
          </w:tcPr>
          <w:p w14:paraId="410E4F25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nil"/>
              <w:right w:val="nil"/>
            </w:tcBorders>
          </w:tcPr>
          <w:p w14:paraId="5DB53357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Duyệt của BGH</w:t>
            </w:r>
          </w:p>
          <w:p w14:paraId="647E8EC2">
            <w:pPr>
              <w:spacing w:before="0" w:after="0" w:line="360" w:lineRule="auto"/>
              <w:ind w:right="141"/>
              <w:jc w:val="right"/>
              <w:rPr>
                <w:b/>
              </w:rPr>
            </w:pPr>
            <w:r>
              <w:rPr>
                <w:rFonts w:eastAsia="Times New Roman"/>
                <w:sz w:val="26"/>
                <w:szCs w:val="24"/>
              </w:rPr>
              <w:drawing>
                <wp:inline distT="0" distB="0" distL="0" distR="0">
                  <wp:extent cx="2918460" cy="1097280"/>
                  <wp:effectExtent l="0" t="0" r="0" b="7620"/>
                  <wp:docPr id="3" name="Picture 3" descr="CK NHÀ TRƯỜ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K NHÀ TRƯỜ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46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F0EAB3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  <w:p w14:paraId="5CFF1EB9">
            <w:pPr>
              <w:spacing w:before="0" w:after="0" w:line="360" w:lineRule="auto"/>
              <w:ind w:right="141"/>
              <w:jc w:val="center"/>
              <w:rPr>
                <w:b/>
              </w:rPr>
            </w:pPr>
            <w:r>
              <w:rPr>
                <w:b/>
              </w:rPr>
              <w:t>Vũ Minh Tân</w:t>
            </w:r>
          </w:p>
        </w:tc>
        <w:tc>
          <w:tcPr>
            <w:tcW w:w="4655" w:type="dxa"/>
            <w:tcBorders>
              <w:top w:val="nil"/>
              <w:left w:val="nil"/>
              <w:right w:val="nil"/>
            </w:tcBorders>
          </w:tcPr>
          <w:p w14:paraId="424A88B5">
            <w:pPr>
              <w:spacing w:before="0" w:after="0" w:line="360" w:lineRule="auto"/>
              <w:ind w:right="141"/>
              <w:jc w:val="center"/>
              <w:rPr>
                <w:b/>
              </w:rPr>
            </w:pPr>
          </w:p>
        </w:tc>
      </w:tr>
    </w:tbl>
    <w:p w14:paraId="4BE505DF">
      <w:pPr>
        <w:spacing w:before="0" w:after="0" w:line="360" w:lineRule="auto"/>
        <w:ind w:right="141"/>
        <w:jc w:val="left"/>
        <w:rPr>
          <w:b/>
          <w:bCs/>
        </w:rPr>
      </w:pPr>
    </w:p>
    <w:sectPr>
      <w:pgSz w:w="12240" w:h="15840"/>
      <w:pgMar w:top="1134" w:right="1134" w:bottom="1134" w:left="1440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24" w:lineRule="auto"/>
      </w:pPr>
      <w:r>
        <w:separator/>
      </w:r>
    </w:p>
  </w:footnote>
  <w:footnote w:type="continuationSeparator" w:id="1">
    <w:p>
      <w:pPr>
        <w:spacing w:before="0" w:after="0"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D2D169"/>
    <w:multiLevelType w:val="singleLevel"/>
    <w:tmpl w:val="62D2D169"/>
    <w:lvl w:ilvl="0" w:tentative="0">
      <w:start w:val="2"/>
      <w:numFmt w:val="decimal"/>
      <w:suff w:val="space"/>
      <w:lvlText w:val="%1."/>
      <w:lvlJc w:val="left"/>
      <w:rPr>
        <w:rFonts w:hint="default"/>
        <w:b/>
        <w:bCs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713"/>
    <w:rsid w:val="000259A4"/>
    <w:rsid w:val="00054B12"/>
    <w:rsid w:val="00060343"/>
    <w:rsid w:val="00176713"/>
    <w:rsid w:val="002164DE"/>
    <w:rsid w:val="002529DC"/>
    <w:rsid w:val="002D01CF"/>
    <w:rsid w:val="008B38B5"/>
    <w:rsid w:val="00AA64B8"/>
    <w:rsid w:val="00C6445F"/>
    <w:rsid w:val="00C91C47"/>
    <w:rsid w:val="00CF28B4"/>
    <w:rsid w:val="00D17476"/>
    <w:rsid w:val="00E04C97"/>
    <w:rsid w:val="00FF110F"/>
    <w:rsid w:val="08D3523B"/>
    <w:rsid w:val="39814B8D"/>
    <w:rsid w:val="7423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 w:line="324" w:lineRule="auto"/>
      <w:jc w:val="both"/>
    </w:pPr>
    <w:rPr>
      <w:rFonts w:ascii="Times New Roman" w:hAnsi="Times New Roman" w:eastAsia="Calibri" w:cs="Times New Roman"/>
      <w:kern w:val="0"/>
      <w:sz w:val="28"/>
      <w:szCs w:val="28"/>
      <w:lang w:val="en-US" w:eastAsia="en-US" w:bidi="ar-SA"/>
      <w14:ligatures w14:val="none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252</Words>
  <Characters>1438</Characters>
  <Lines>11</Lines>
  <Paragraphs>3</Paragraphs>
  <TotalTime>1</TotalTime>
  <ScaleCrop>false</ScaleCrop>
  <LinksUpToDate>false</LinksUpToDate>
  <CharactersWithSpaces>1687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2024-10-23T08:59:00Z</dcterms:created>
  <dc:creator>Admin</dc:creator>
  <cp:lastModifiedBy>Hiên Lê Thị Mai</cp:lastModifiedBy>
  <dcterms:modified xsi:type="dcterms:W3CDTF">2024-10-26T06:01:43Z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DED3A5FCAF3D43BE90405A7CC9CB08DB_12</vt:lpwstr>
  </property>
</Properties>
</file>